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40"/>
        <w:ind w:left="7371" w:right="0" w:hanging="0"/>
        <w:jc w:val="center"/>
        <w:rPr/>
      </w:pPr>
      <w:r>
        <w:rPr/>
        <w:t>П</w:t>
      </w:r>
      <w:r>
        <w:rPr>
          <w:color w:val="000000"/>
        </w:rPr>
        <w:t>риложение № 2</w:t>
      </w:r>
      <w:r>
        <w:rPr/>
        <w:br/>
      </w:r>
      <w:r>
        <w:rPr>
          <w:color w:val="000000"/>
        </w:rPr>
        <w:t>к приказу Федеральной службы по надзору в сфере связи, информационных технологий массовых коммуникаций</w:t>
      </w:r>
      <w:r>
        <w:rPr/>
        <w:br/>
      </w:r>
      <w:r>
        <w:rPr>
          <w:color w:val="000000"/>
        </w:rPr>
        <w:t>от 28.10.2022 № 180</w:t>
      </w:r>
    </w:p>
    <w:p>
      <w:pPr>
        <w:pStyle w:val="Normal"/>
        <w:bidi w:val="0"/>
        <w:spacing w:before="0" w:after="240"/>
        <w:ind w:left="0" w:right="0" w:hanging="0"/>
        <w:jc w:val="right"/>
        <w:rPr/>
      </w:pPr>
      <w:r>
        <w:rPr>
          <w:color w:val="000000"/>
          <w:sz w:val="24"/>
          <w:szCs w:val="24"/>
        </w:rPr>
        <w:t>Форма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  <w:color w:val="000000"/>
          <w:sz w:val="26"/>
          <w:szCs w:val="26"/>
        </w:rPr>
        <w:t>Уведомление</w:t>
      </w:r>
      <w:r>
        <w:rPr/>
        <w:br/>
      </w:r>
      <w:r>
        <w:rPr>
          <w:b/>
          <w:color w:val="000000"/>
          <w:sz w:val="26"/>
          <w:szCs w:val="26"/>
        </w:rPr>
        <w:t>об изменении сведений, содержащихся в уведомлении о намерении</w:t>
      </w:r>
      <w:r>
        <w:rPr/>
        <w:br/>
      </w:r>
      <w:r>
        <w:rPr>
          <w:b/>
          <w:color w:val="000000"/>
          <w:sz w:val="26"/>
          <w:szCs w:val="26"/>
        </w:rPr>
        <w:t>осуществлять обработку персональных данных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>
          <w:color w:val="00000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 его идентификационный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>
          <w:color w:val="000000"/>
        </w:rPr>
        <w:t>номер налогоплательщика и (или) основной государственный регистрационный номер, адрес оператора </w:t>
      </w:r>
      <w:r>
        <w:rPr>
          <w:rStyle w:val="Style17"/>
          <w:color w:val="000000"/>
          <w:lang w:val="ru-RU" w:eastAsia="ru-RU" w:bidi="ar-SA"/>
        </w:rPr>
        <w:footnoteReference w:customMarkFollows="1" w:id="2"/>
        <w:t>1</w:t>
      </w:r>
      <w:r>
        <w:rPr>
          <w:color w:val="000000"/>
        </w:rPr>
        <w:t>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>
          <w:color w:val="000000"/>
        </w:rPr>
        <w:t>(регистрационный номер записи в реестре операторов </w:t>
      </w:r>
      <w:r>
        <w:rPr>
          <w:rStyle w:val="Style17"/>
          <w:color w:val="000000"/>
          <w:lang w:val="ru-RU" w:eastAsia="ru-RU" w:bidi="ar-SA"/>
        </w:rPr>
        <w:footnoteReference w:customMarkFollows="1" w:id="3"/>
        <w:t>2</w:t>
      </w:r>
      <w:r>
        <w:rPr>
          <w:color w:val="000000"/>
        </w:rPr>
        <w:t>)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>Дата изменения сведений, содержащихся в уведомлении о намерении осуществлять обработку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4"/>
        <w:t>3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both"/>
        <w:rPr/>
      </w:pPr>
      <w:r>
        <w:rPr>
          <w:color w:val="000000"/>
          <w:sz w:val="24"/>
          <w:szCs w:val="24"/>
        </w:rPr>
        <w:t>Сведения, содержащиеся в ранее представленном уведомлении о намерении осуществлять обработку персональных данных, подлежащие изменению:</w:t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1. Цель обработки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5"/>
        <w:t>4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Категории персональных данных, обрабатываемых с указанной целью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6"/>
        <w:t>5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Категории субъектов, персональные данные которых обрабатываются с указанной целью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7"/>
        <w:t>6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>Правовое (правовые) основание (основания) обработки персональных данных, осуществляемой с указанной целью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8"/>
        <w:t>7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Перечень действий с персональными данными, осуществляемых с указанной целью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9"/>
        <w:t>8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Способы обработки персональных данных, используемых с указанной целью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0"/>
        <w:t>9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bidi w:val="0"/>
        <w:spacing w:before="0" w:after="180"/>
        <w:ind w:left="0" w:right="0" w:hanging="0"/>
        <w:rPr/>
      </w:pPr>
      <w:r>
        <w:rPr>
          <w:color w:val="000000"/>
          <w:sz w:val="24"/>
          <w:szCs w:val="24"/>
        </w:rPr>
        <w:t>2. Цель обработки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80"/>
        <w:ind w:left="0" w:right="0" w:hanging="0"/>
        <w:rPr/>
      </w:pPr>
      <w:r>
        <w:rPr>
          <w:color w:val="000000"/>
          <w:sz w:val="24"/>
          <w:szCs w:val="24"/>
        </w:rPr>
        <w:t>Категории персональных данных, обрабатываемых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80"/>
        <w:ind w:left="0" w:right="0" w:hanging="0"/>
        <w:rPr/>
      </w:pPr>
      <w:r>
        <w:rPr>
          <w:color w:val="000000"/>
          <w:sz w:val="24"/>
          <w:szCs w:val="24"/>
        </w:rPr>
        <w:t>Категории субъектов, персональные данные которых обрабатываются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jc w:val="both"/>
        <w:rPr/>
      </w:pPr>
      <w:r>
        <w:rPr>
          <w:color w:val="000000"/>
          <w:sz w:val="24"/>
          <w:szCs w:val="24"/>
        </w:rPr>
        <w:t>Правовое (правовые) основание (основания) обработки персональных данных, осуществляемой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rPr/>
      </w:pPr>
      <w:r>
        <w:rPr>
          <w:color w:val="000000"/>
          <w:sz w:val="24"/>
          <w:szCs w:val="24"/>
        </w:rPr>
        <w:t>Перечень действий с персональными данными, осуществляемых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Способы обработки персональных данных, используемых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rPr/>
      </w:pPr>
      <w:r>
        <w:rPr>
          <w:color w:val="000000"/>
          <w:sz w:val="24"/>
          <w:szCs w:val="24"/>
        </w:rPr>
        <w:t>&lt;№&gt; Цель обработки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rPr/>
      </w:pPr>
      <w:r>
        <w:rPr>
          <w:color w:val="000000"/>
          <w:sz w:val="24"/>
          <w:szCs w:val="24"/>
        </w:rPr>
        <w:t>Категории персональных данных, обрабатываемых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Категории субъектов, персональные данные которых обрабатываются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>Правовое (правовые) основание (основания) обработки персональных данных, осуществляемой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Перечень действий с персональными данными, осуществляемых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Способы обработки персональных данных, используемых с указанной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Описание мер, предусмотренных </w:t>
      </w:r>
      <w:r>
        <w:rPr>
          <w:sz w:val="24"/>
          <w:szCs w:val="24"/>
        </w:rPr>
        <w:t>статьями 18.1 и 19</w:t>
      </w:r>
      <w:r>
        <w:rPr>
          <w:color w:val="000000"/>
          <w:sz w:val="24"/>
          <w:szCs w:val="24"/>
        </w:rPr>
        <w:t xml:space="preserve"> Федерального закона «О персональных данных», в том числе сведения о наличии шифровальных (криптографических) средств и наименования этих средств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1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rPr/>
      </w:pPr>
      <w:r>
        <w:rPr>
          <w:color w:val="000000"/>
          <w:sz w:val="24"/>
          <w:szCs w:val="24"/>
        </w:rPr>
        <w:t>Сведения о лицах, ответственных за организацию обработки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2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Дата начала обработки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3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Lines/>
        <w:bidi w:val="0"/>
        <w:ind w:left="0" w:right="0" w:hanging="0"/>
        <w:rPr/>
      </w:pPr>
      <w:r>
        <w:rPr>
          <w:color w:val="000000"/>
          <w:sz w:val="24"/>
          <w:szCs w:val="24"/>
        </w:rPr>
        <w:t>Срок или условие прекращения обработки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4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:</w:t>
      </w:r>
    </w:p>
    <w:p>
      <w:pPr>
        <w:pStyle w:val="Normal"/>
        <w:keepLines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bidi w:val="0"/>
        <w:spacing w:before="0" w:after="240"/>
        <w:ind w:left="0" w:right="0" w:hanging="0"/>
        <w:rPr/>
      </w:pPr>
      <w:r>
        <w:rPr>
          <w:color w:val="000000"/>
          <w:sz w:val="24"/>
          <w:szCs w:val="24"/>
        </w:rPr>
        <w:t>Сведения о наличии или об отсутствии трансграничной передачи персональных данных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5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:</w:t>
      </w:r>
    </w:p>
    <w:p>
      <w:pPr>
        <w:pStyle w:val="Normal"/>
        <w:keepNext w:val="tru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jc w:val="both"/>
        <w:rPr/>
      </w:pPr>
      <w:r>
        <w:rPr>
          <w:color w:val="000000"/>
          <w:sz w:val="24"/>
          <w:szCs w:val="24"/>
        </w:rPr>
        <w:t>Сведения о месте нахождения базы данных информации, содержащей персональные данные граждан Российской Федерации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6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jc w:val="both"/>
        <w:rPr/>
      </w:pPr>
      <w:r>
        <w:rPr>
          <w:color w:val="000000"/>
          <w:sz w:val="24"/>
          <w:szCs w:val="24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системах)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7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 </w:t>
      </w:r>
      <w:r>
        <w:rPr>
          <w:rStyle w:val="Style17"/>
          <w:color w:val="000000"/>
          <w:sz w:val="24"/>
          <w:szCs w:val="24"/>
          <w:lang w:val="ru-RU" w:eastAsia="ru-RU" w:bidi="ar-SA"/>
        </w:rPr>
        <w:footnoteReference w:customMarkFollows="1" w:id="18"/>
        <w:t>1</w:t>
      </w:r>
      <w:r>
        <w:rPr>
          <w:rStyle w:val="FootnoteCharacters"/>
          <w:color w:val="000000"/>
          <w:sz w:val="24"/>
          <w:szCs w:val="24"/>
          <w:vertAlign w:val="superscript"/>
        </w:rPr>
        <w:t>7</w:t>
      </w:r>
      <w:r>
        <w:rPr>
          <w:color w:val="000000"/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262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5"/>
        <w:gridCol w:w="851"/>
        <w:gridCol w:w="2380"/>
        <w:gridCol w:w="737"/>
        <w:gridCol w:w="2949"/>
      </w:tblGrid>
      <w:tr>
        <w:trPr/>
        <w:tc>
          <w:tcPr>
            <w:tcW w:w="33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38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(подпись оператора или иного уполномоченного лица оператора) (подпись)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(расшифровка подписи оператора или иного уполномоченного лица оператора)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351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6"/>
        <w:gridCol w:w="1473"/>
        <w:gridCol w:w="397"/>
        <w:gridCol w:w="397"/>
        <w:gridCol w:w="39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Пункт 1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от 27 июля 2006 г. № 152-ФЗ «О персональных данных» (Собрание законодательства Российской Федерации, 2006, № 31, ст. 3451). Далее – Федеральный закон «О персональных данных».</w:t>
      </w:r>
    </w:p>
  </w:footnote>
  <w:footnote w:id="3">
    <w:p>
      <w:pPr>
        <w:pStyle w:val="Style29"/>
        <w:bidi w:val="0"/>
        <w:jc w:val="left"/>
        <w:rPr/>
      </w:pPr>
      <w:r>
        <w:rPr>
          <w:rStyle w:val="Style18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Часть 4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 (Собрание законодательства Российской Федерации, 2006, № 31, ст. 3451).</w:t>
      </w:r>
    </w:p>
  </w:footnote>
  <w:footnote w:id="4">
    <w:p>
      <w:pPr>
        <w:pStyle w:val="Style29"/>
        <w:bidi w:val="0"/>
        <w:jc w:val="left"/>
        <w:rPr/>
      </w:pPr>
      <w:r>
        <w:rPr>
          <w:rStyle w:val="Style18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Часть 7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 (Собрание законодательства Российской Федерации, 2006, № 31, ст. 3451; 2011, № 31, ст. 4701).</w:t>
      </w:r>
    </w:p>
  </w:footnote>
  <w:footnote w:id="5">
    <w:p>
      <w:pPr>
        <w:pStyle w:val="Style29"/>
        <w:bidi w:val="0"/>
        <w:jc w:val="left"/>
        <w:rPr/>
      </w:pPr>
      <w:r>
        <w:rPr>
          <w:rStyle w:val="Style18"/>
        </w:rPr>
        <w:t>4</w:t>
      </w:r>
      <w:r>
        <w:rPr>
          <w:rFonts w:cs="Times New Roman"/>
          <w:sz w:val="20"/>
          <w:szCs w:val="20"/>
          <w:lang w:val="ru-RU" w:eastAsia="ru-RU" w:bidi="ar-SA"/>
        </w:rPr>
        <w:t>Пункт 2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6">
    <w:p>
      <w:pPr>
        <w:pStyle w:val="Style29"/>
        <w:bidi w:val="0"/>
        <w:jc w:val="left"/>
        <w:rPr/>
      </w:pPr>
      <w:r>
        <w:rPr>
          <w:rStyle w:val="Style18"/>
        </w:rPr>
        <w:t>5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7">
    <w:p>
      <w:pPr>
        <w:pStyle w:val="Style29"/>
        <w:bidi w:val="0"/>
        <w:jc w:val="left"/>
        <w:rPr/>
      </w:pPr>
      <w:r>
        <w:rPr>
          <w:rStyle w:val="Style18"/>
        </w:rPr>
        <w:t>6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8">
    <w:p>
      <w:pPr>
        <w:pStyle w:val="Style29"/>
        <w:bidi w:val="0"/>
        <w:jc w:val="left"/>
        <w:rPr/>
      </w:pPr>
      <w:r>
        <w:rPr>
          <w:rStyle w:val="Style18"/>
        </w:rPr>
        <w:t>7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9">
    <w:p>
      <w:pPr>
        <w:pStyle w:val="Style29"/>
        <w:bidi w:val="0"/>
        <w:jc w:val="left"/>
        <w:rPr/>
      </w:pPr>
      <w:r>
        <w:rPr>
          <w:rStyle w:val="Style18"/>
        </w:rPr>
        <w:t>8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0">
    <w:p>
      <w:pPr>
        <w:pStyle w:val="Style29"/>
        <w:bidi w:val="0"/>
        <w:jc w:val="left"/>
        <w:rPr/>
      </w:pPr>
      <w:r>
        <w:rPr>
          <w:rStyle w:val="Style18"/>
        </w:rPr>
        <w:t>9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1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10</w:t>
      </w:r>
      <w:r>
        <w:rPr>
          <w:rFonts w:cs="Times New Roman"/>
          <w:sz w:val="20"/>
          <w:szCs w:val="20"/>
          <w:lang w:val="ru-RU" w:eastAsia="ru-RU" w:bidi="ar-SA"/>
        </w:rPr>
        <w:t> Пункт 7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2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11</w:t>
      </w:r>
      <w:r>
        <w:rPr>
          <w:rFonts w:cs="Times New Roman"/>
          <w:sz w:val="20"/>
          <w:szCs w:val="20"/>
          <w:lang w:val="ru-RU" w:eastAsia="ru-RU" w:bidi="ar-SA"/>
        </w:rPr>
        <w:t> Пункт 7.1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3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12</w:t>
      </w:r>
      <w:r>
        <w:rPr>
          <w:rFonts w:cs="Times New Roman"/>
          <w:sz w:val="20"/>
          <w:szCs w:val="20"/>
          <w:lang w:val="ru-RU" w:eastAsia="ru-RU" w:bidi="ar-SA"/>
        </w:rPr>
        <w:t> Пункт 8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4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13</w:t>
      </w:r>
      <w:r>
        <w:rPr>
          <w:rFonts w:cs="Times New Roman"/>
          <w:sz w:val="20"/>
          <w:szCs w:val="20"/>
          <w:lang w:val="ru-RU" w:eastAsia="ru-RU" w:bidi="ar-SA"/>
        </w:rPr>
        <w:t> Пункт 9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5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14</w:t>
      </w:r>
      <w:r>
        <w:rPr>
          <w:rFonts w:cs="Times New Roman"/>
          <w:sz w:val="20"/>
          <w:szCs w:val="20"/>
          <w:lang w:val="ru-RU" w:eastAsia="ru-RU" w:bidi="ar-SA"/>
        </w:rPr>
        <w:t> Пункт 10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6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15</w:t>
      </w:r>
      <w:r>
        <w:rPr>
          <w:rFonts w:cs="Times New Roman"/>
          <w:sz w:val="20"/>
          <w:szCs w:val="20"/>
          <w:lang w:val="ru-RU" w:eastAsia="ru-RU" w:bidi="ar-SA"/>
        </w:rPr>
        <w:t> Пункт 10.1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7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16</w:t>
      </w:r>
      <w:r>
        <w:rPr>
          <w:rFonts w:cs="Times New Roman"/>
          <w:sz w:val="20"/>
          <w:szCs w:val="20"/>
          <w:lang w:val="ru-RU" w:eastAsia="ru-RU" w:bidi="ar-SA"/>
        </w:rPr>
        <w:t> Пункт 10.2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  <w:footnote w:id="18">
    <w:p>
      <w:pPr>
        <w:pStyle w:val="Style29"/>
        <w:bidi w:val="0"/>
        <w:jc w:val="left"/>
        <w:rPr/>
      </w:pPr>
      <w:r>
        <w:rPr>
          <w:rStyle w:val="Style18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17</w:t>
      </w:r>
      <w:r>
        <w:rPr>
          <w:rFonts w:cs="Times New Roman"/>
          <w:sz w:val="20"/>
          <w:szCs w:val="20"/>
          <w:lang w:val="ru-RU" w:eastAsia="ru-RU" w:bidi="ar-SA"/>
        </w:rPr>
        <w:t> Пункт 11 части 3 статьи 22</w:t>
      </w:r>
      <w:r>
        <w:rPr>
          <w:rFonts w:cs="Times New Roman"/>
          <w:color w:val="000000"/>
          <w:sz w:val="20"/>
          <w:szCs w:val="20"/>
          <w:lang w:val="ru-RU" w:eastAsia="ru-RU" w:bidi="ar-SA"/>
        </w:rPr>
        <w:t xml:space="preserve"> Федерального закона «О персональных данных».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8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note Text"/>
    <w:basedOn w:val="Normal"/>
    <w:pPr/>
    <w:rPr/>
  </w:style>
  <w:style w:type="paragraph" w:styleId="ConsNormal">
    <w:name w:val="ConsNormal"/>
    <w:qFormat/>
    <w:pPr>
      <w:widowControl/>
      <w:bidi w:val="0"/>
      <w:ind w:right="19772" w:hanging="0"/>
      <w:jc w:val="both"/>
      <w:textAlignment w:val="auto"/>
    </w:pPr>
    <w:rPr>
      <w:rFonts w:ascii="Courier New" w:hAnsi="Courier New" w:eastAsia="Cambria Math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4</Pages>
  <Words>640</Words>
  <Characters>4393</Characters>
  <CharactersWithSpaces>4976</CharactersWithSpaces>
  <Paragraphs>58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2022-12-19T10:23:00Z</dcterms:created>
  <dc:creator>КонсультантПлюс</dc:creator>
  <dc:description/>
  <dc:language>ru-RU</dc:language>
  <cp:lastModifiedBy/>
  <cp:lastPrinted>2022-12-16T11:15:00Z</cp:lastPrinted>
  <dcterms:modified xsi:type="dcterms:W3CDTF">2022-12-19T10:23:00Z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Алла Алла</vt:lpwstr>
  </property>
</Properties>
</file>